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A0AAF" w14:textId="77777777" w:rsidR="00D03035" w:rsidRDefault="00D03035" w:rsidP="00D03035"/>
    <w:p w14:paraId="1708BF75" w14:textId="77777777" w:rsidR="00D03035" w:rsidRPr="007322EA" w:rsidRDefault="00D03035" w:rsidP="00D03035">
      <w:pPr>
        <w:rPr>
          <w:b/>
          <w:bCs/>
        </w:rPr>
      </w:pPr>
      <w:r w:rsidRPr="007322EA">
        <w:rPr>
          <w:b/>
          <w:bCs/>
        </w:rPr>
        <w:t>La CBG maintient sa certification ASI Performance Standard V2 (2017)</w:t>
      </w:r>
    </w:p>
    <w:p w14:paraId="45A5A3DA" w14:textId="77777777" w:rsidR="00D03035" w:rsidRDefault="00D03035" w:rsidP="00D03035"/>
    <w:p w14:paraId="7E8BAC72" w14:textId="77777777" w:rsidR="00D03035" w:rsidRDefault="00D03035" w:rsidP="00D03035">
      <w:r w:rsidRPr="007322EA">
        <w:rPr>
          <w:b/>
          <w:bCs/>
        </w:rPr>
        <w:t>Kamsar le 21 septembre 2026</w:t>
      </w:r>
      <w:r w:rsidRPr="007322EA">
        <w:t xml:space="preserve"> – La Compagnie des Bauxites de Guinée (CBG) a obtenu le maintien de sa certification à l’ASI Performance Standard V2 de l’Aluminium Stewardship Initiative (ASI), à l’issue de son deuxième audit de surveillance réalisé du 22 au 30 juin 2026.</w:t>
      </w:r>
    </w:p>
    <w:p w14:paraId="4F6391D7" w14:textId="77777777" w:rsidR="00D03035" w:rsidRPr="007322EA" w:rsidRDefault="00D03035" w:rsidP="00D03035"/>
    <w:p w14:paraId="39DECBD5" w14:textId="77777777" w:rsidR="00D03035" w:rsidRPr="007322EA" w:rsidRDefault="00D03035" w:rsidP="00D03035">
      <w:r w:rsidRPr="007322EA">
        <w:t>Cette certification atteste de la conformité des opérations de la CBG aux exigences de la norme en matière de gouvernance, d’environnement, de droits humains, de santé et sécurité, de pratiques sociales et de relations avec les communautés.</w:t>
      </w:r>
    </w:p>
    <w:p w14:paraId="333E8558" w14:textId="77777777" w:rsidR="00D03035" w:rsidRPr="007322EA" w:rsidRDefault="00D03035" w:rsidP="00D03035"/>
    <w:p w14:paraId="008E4814" w14:textId="77777777" w:rsidR="00D03035" w:rsidRPr="007322EA" w:rsidRDefault="00D03035" w:rsidP="00D03035">
      <w:r w:rsidRPr="007322EA">
        <w:rPr>
          <w:b/>
          <w:bCs/>
        </w:rPr>
        <w:t>Une norme internationale pour une chaîne de valeur plus responsable</w:t>
      </w:r>
    </w:p>
    <w:p w14:paraId="6D6FE933" w14:textId="77777777" w:rsidR="00D03035" w:rsidRPr="007322EA" w:rsidRDefault="00D03035" w:rsidP="00D03035">
      <w:r w:rsidRPr="007322EA">
        <w:t>L’Aluminium Stewardship Initiative (ASI) est une organisation internationale qui définit des standards de durabilité pour la chaîne de valeur de l’aluminium.</w:t>
      </w:r>
    </w:p>
    <w:p w14:paraId="795243BC" w14:textId="77777777" w:rsidR="00D03035" w:rsidRDefault="00D03035" w:rsidP="00D03035">
      <w:r w:rsidRPr="007322EA">
        <w:t>L’</w:t>
      </w:r>
      <w:r w:rsidRPr="007322EA">
        <w:rPr>
          <w:b/>
          <w:bCs/>
        </w:rPr>
        <w:t>ASI Performance Standard V2 (2017)</w:t>
      </w:r>
      <w:r w:rsidRPr="007322EA">
        <w:t xml:space="preserve"> s’articule autour de principes couvrant notamment la gouvernance et la transparence, les émissions et la gestion environnementale, l’eau, la biodiversité, les droits humains, les conditions de travail ainsi que les relations avec les communautés.</w:t>
      </w:r>
    </w:p>
    <w:p w14:paraId="63FD7290" w14:textId="77777777" w:rsidR="00D03035" w:rsidRPr="007322EA" w:rsidRDefault="00D03035" w:rsidP="00D03035"/>
    <w:p w14:paraId="0D20F47A" w14:textId="77777777" w:rsidR="00D03035" w:rsidRPr="007322EA" w:rsidRDefault="00D03035" w:rsidP="00D03035">
      <w:r w:rsidRPr="007322EA">
        <w:t>Pour la CBG, le maintien de cette certification vient reconnaître la continuité des actions engagées pour intégrer ces exigences dans ses opérations et faire progresser ses pratiques.</w:t>
      </w:r>
    </w:p>
    <w:p w14:paraId="444FB0F4" w14:textId="77777777" w:rsidR="00D03035" w:rsidRDefault="00D03035" w:rsidP="00D03035">
      <w:pPr>
        <w:rPr>
          <w:b/>
          <w:bCs/>
        </w:rPr>
      </w:pPr>
    </w:p>
    <w:p w14:paraId="4044692A" w14:textId="77777777" w:rsidR="00D03035" w:rsidRPr="007322EA" w:rsidRDefault="00D03035" w:rsidP="00D03035">
      <w:r w:rsidRPr="007322EA">
        <w:rPr>
          <w:b/>
          <w:bCs/>
        </w:rPr>
        <w:t>Un périmètre qui couvre les principales opérations de la CBG</w:t>
      </w:r>
    </w:p>
    <w:p w14:paraId="1B835903" w14:textId="77777777" w:rsidR="00D03035" w:rsidRPr="007322EA" w:rsidRDefault="00D03035" w:rsidP="00D03035">
      <w:r w:rsidRPr="007322EA">
        <w:t>Le périmètre certifié comprend notamment :</w:t>
      </w:r>
    </w:p>
    <w:p w14:paraId="18FA7905" w14:textId="77777777" w:rsidR="00D03035" w:rsidRPr="007322EA" w:rsidRDefault="00D03035" w:rsidP="00D03035">
      <w:pPr>
        <w:numPr>
          <w:ilvl w:val="0"/>
          <w:numId w:val="1"/>
        </w:numPr>
      </w:pPr>
      <w:r w:rsidRPr="007322EA">
        <w:t>La mine de Sangarédi</w:t>
      </w:r>
    </w:p>
    <w:p w14:paraId="5C017FBE" w14:textId="77777777" w:rsidR="00D03035" w:rsidRPr="007322EA" w:rsidRDefault="00D03035" w:rsidP="00D03035">
      <w:pPr>
        <w:numPr>
          <w:ilvl w:val="0"/>
          <w:numId w:val="1"/>
        </w:numPr>
      </w:pPr>
      <w:r w:rsidRPr="007322EA">
        <w:t>Le chemin de fer reliant Sangarédi à Kamsar</w:t>
      </w:r>
    </w:p>
    <w:p w14:paraId="408E8E70" w14:textId="77777777" w:rsidR="00D03035" w:rsidRPr="007322EA" w:rsidRDefault="00D03035" w:rsidP="00D03035">
      <w:pPr>
        <w:numPr>
          <w:ilvl w:val="0"/>
          <w:numId w:val="1"/>
        </w:numPr>
      </w:pPr>
      <w:r w:rsidRPr="007322EA">
        <w:t>Les installations de traitement de la bauxite et les opérations portuaires à Kamsar</w:t>
      </w:r>
    </w:p>
    <w:p w14:paraId="37FB468A" w14:textId="77777777" w:rsidR="00D03035" w:rsidRPr="007322EA" w:rsidRDefault="00D03035" w:rsidP="00D03035">
      <w:pPr>
        <w:numPr>
          <w:ilvl w:val="0"/>
          <w:numId w:val="1"/>
        </w:numPr>
      </w:pPr>
      <w:r w:rsidRPr="007322EA">
        <w:t>Le site de compensation de biodiversité de Moyen-Bafing</w:t>
      </w:r>
    </w:p>
    <w:p w14:paraId="3DCDEC88" w14:textId="77777777" w:rsidR="00D03035" w:rsidRDefault="00D03035" w:rsidP="00D03035"/>
    <w:p w14:paraId="1FF7F36D" w14:textId="77777777" w:rsidR="00D03035" w:rsidRPr="007322EA" w:rsidRDefault="00D03035" w:rsidP="00D03035">
      <w:r w:rsidRPr="007322EA">
        <w:t>Ainsi que les infrastructures et activités associées couvertes par la certification.</w:t>
      </w:r>
    </w:p>
    <w:p w14:paraId="06426428" w14:textId="77777777" w:rsidR="00D03035" w:rsidRDefault="00D03035" w:rsidP="00D03035">
      <w:r w:rsidRPr="007322EA">
        <w:t>Cette couverture permet d’évaluer l’application des exigences ASI sur les différents maillons des opérations de la CBG, de la mine au port et dans les activités supports concernées.</w:t>
      </w:r>
    </w:p>
    <w:p w14:paraId="3C0917EA" w14:textId="77777777" w:rsidR="00D03035" w:rsidRPr="007322EA" w:rsidRDefault="00D03035" w:rsidP="00D03035"/>
    <w:p w14:paraId="43E74D7D" w14:textId="77777777" w:rsidR="00D03035" w:rsidRPr="007322EA" w:rsidRDefault="00D03035" w:rsidP="00D03035">
      <w:r w:rsidRPr="007322EA">
        <w:rPr>
          <w:b/>
          <w:bCs/>
        </w:rPr>
        <w:t>Une mobilisation collective</w:t>
      </w:r>
    </w:p>
    <w:p w14:paraId="1B949A51" w14:textId="77777777" w:rsidR="00D03035" w:rsidRPr="007322EA" w:rsidRDefault="00D03035" w:rsidP="00D03035">
      <w:r w:rsidRPr="007322EA">
        <w:t>Le maintien de la certification fait suite à plusieurs mois de préparation et à la mobilisation des équipes opérationnelles et des fonctions support. L’audit de surveillance a permis d’examiner les pratiques, les processus et les dispositifs mis en œuvre au regard des exigences de l’ASI Performance Standard.</w:t>
      </w:r>
    </w:p>
    <w:p w14:paraId="2EF0CA1A" w14:textId="77777777" w:rsidR="00D03035" w:rsidRPr="007322EA" w:rsidRDefault="00D03035" w:rsidP="00D03035">
      <w:r w:rsidRPr="007322EA">
        <w:rPr>
          <w:noProof/>
        </w:rPr>
        <mc:AlternateContent>
          <mc:Choice Requires="wps">
            <w:drawing>
              <wp:inline distT="0" distB="0" distL="0" distR="0" wp14:anchorId="448BFEAD" wp14:editId="49B5FEF9">
                <wp:extent cx="9753600" cy="6507480"/>
                <wp:effectExtent l="0" t="0" r="0" b="0"/>
                <wp:docPr id="171856068"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753600" cy="650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CAD33E" id="Rectangle 7" o:spid="_x0000_s1026" style="width:768pt;height:51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" filled="f" stroked="f">
                <o:lock v:ext="edit" aspectratio="t"/>
                <w10:anchorlock/>
              </v:rect>
            </w:pict>
          </mc:Fallback>
        </mc:AlternateContent>
      </w:r>
    </w:p>
    <w:p w14:paraId="66861585" w14:textId="77777777" w:rsidR="00D03035" w:rsidRPr="007322EA" w:rsidRDefault="00D03035" w:rsidP="00D03035">
      <w:r w:rsidRPr="007322EA">
        <w:t xml:space="preserve">Pour </w:t>
      </w:r>
      <w:r w:rsidRPr="007322EA">
        <w:rPr>
          <w:b/>
          <w:bCs/>
        </w:rPr>
        <w:t>Karifa Condé, Directeur Général de la CBG</w:t>
      </w:r>
      <w:r w:rsidRPr="007322EA">
        <w:t xml:space="preserve"> : </w:t>
      </w:r>
      <w:r w:rsidRPr="007322EA">
        <w:rPr>
          <w:i/>
          <w:iCs/>
        </w:rPr>
        <w:t>« Le maintien de notre certification ASI vient reconnaître le travail accompli collectivement et les efforts déployés pour intégrer les exigences environnementales, sociales et de gouvernance dans nos activités. Je remercie l’ensemble de nos collaborateurs pour leur engagement et leur professionnalisme. Cette certification nous engage également à poursuivre nos efforts et à continuer d’améliorer nos pratiques. »</w:t>
      </w:r>
    </w:p>
    <w:p w14:paraId="40F4737F" w14:textId="77777777" w:rsidR="00D03035" w:rsidRDefault="00D03035" w:rsidP="00D03035"/>
    <w:p w14:paraId="7CFFA35A" w14:textId="77777777" w:rsidR="00D03035" w:rsidRPr="007322EA" w:rsidRDefault="00D03035" w:rsidP="00D03035">
      <w:r w:rsidRPr="007322EA">
        <w:t xml:space="preserve">Pour </w:t>
      </w:r>
      <w:r w:rsidRPr="007322EA">
        <w:rPr>
          <w:b/>
          <w:bCs/>
        </w:rPr>
        <w:t>Oumar Sy, Chef Service Qualité de la CBG</w:t>
      </w:r>
      <w:r w:rsidRPr="007322EA">
        <w:t xml:space="preserve">, cette étape traduit également le travail mené dans la durée : </w:t>
      </w:r>
      <w:r w:rsidRPr="007322EA">
        <w:rPr>
          <w:i/>
          <w:iCs/>
        </w:rPr>
        <w:t>« Le maintien de la certification ASI est le résultat d’un travail rigoureux et d’une forte mobilisation des équipes. Au-delà de l’audit, cette démarche permet de renforcer nos processus, de faire progresser nos pratiques et d’ancrer davantage l’amélioration continue dans nos activités quotidiennes. »</w:t>
      </w:r>
    </w:p>
    <w:p w14:paraId="762ABA30" w14:textId="77777777" w:rsidR="00D03035" w:rsidRPr="007322EA" w:rsidRDefault="00D03035" w:rsidP="00D03035"/>
    <w:p w14:paraId="6035C570" w14:textId="77777777" w:rsidR="00D03035" w:rsidRPr="007322EA" w:rsidRDefault="00D03035" w:rsidP="00D03035">
      <w:r w:rsidRPr="007322EA">
        <w:rPr>
          <w:b/>
          <w:bCs/>
        </w:rPr>
        <w:t>Poursuivre l’amélioration des pratiques</w:t>
      </w:r>
    </w:p>
    <w:p w14:paraId="09E4393A" w14:textId="77777777" w:rsidR="00D03035" w:rsidRPr="007322EA" w:rsidRDefault="00D03035" w:rsidP="00D03035">
      <w:r w:rsidRPr="007322EA">
        <w:t>Le maintien de la certification ASI Performance Standard V2 s’inscrit dans une démarche d’amélioration continue. La CBG poursuit ainsi les actions engagées dans les domaines de la gouvernance, de l’environnement, de la santé et de la sécurité, des droits humains et des relations avec les communautés.</w:t>
      </w:r>
    </w:p>
    <w:p w14:paraId="137409E4" w14:textId="77777777" w:rsidR="00D03035" w:rsidRDefault="00D03035" w:rsidP="00D03035">
      <w:pPr>
        <w:rPr>
          <w:b/>
          <w:bCs/>
        </w:rPr>
      </w:pPr>
      <w:r w:rsidRPr="007322EA">
        <w:t xml:space="preserve">Cette étape prépare également </w:t>
      </w:r>
      <w:r w:rsidRPr="007322EA">
        <w:rPr>
          <w:b/>
          <w:bCs/>
        </w:rPr>
        <w:t xml:space="preserve">la transition vers la Version 3 de l’ASI </w:t>
      </w:r>
    </w:p>
    <w:p w14:paraId="65AC1C8F" w14:textId="77777777" w:rsidR="00D03035" w:rsidRDefault="00D03035" w:rsidP="00D03035">
      <w:pPr>
        <w:rPr>
          <w:b/>
          <w:bCs/>
        </w:rPr>
      </w:pPr>
    </w:p>
    <w:p w14:paraId="16D084A6" w14:textId="77777777" w:rsidR="00D03035" w:rsidRPr="007322EA" w:rsidRDefault="00D03035" w:rsidP="00D03035">
      <w:r w:rsidRPr="007322EA">
        <w:rPr>
          <w:b/>
          <w:bCs/>
        </w:rPr>
        <w:t>Performance Standard</w:t>
      </w:r>
      <w:r w:rsidRPr="007322EA">
        <w:t>, prévue dans le cadre de la démarche de certification de la CBG en 2027.</w:t>
      </w:r>
    </w:p>
    <w:p w14:paraId="587DA0F5" w14:textId="77777777" w:rsidR="00D03035" w:rsidRPr="007322EA" w:rsidRDefault="00D03035" w:rsidP="00D03035">
      <w:r w:rsidRPr="007322EA">
        <w:t>L’objectif reste de continuer à faire évoluer les pratiques de l’entreprise au regard des standards internationaux, tout en conciliant performance opérationnelle, responsabilité environnementale et sociale et création de valeur durable.</w:t>
      </w:r>
    </w:p>
    <w:p w14:paraId="6694A9DF" w14:textId="77777777" w:rsidR="00D03035" w:rsidRPr="007322EA" w:rsidRDefault="00D03035" w:rsidP="00D03035"/>
    <w:p w14:paraId="7045CC2A" w14:textId="77777777" w:rsidR="00D03035" w:rsidRPr="007322EA" w:rsidRDefault="00D03035" w:rsidP="00D03035">
      <w:r w:rsidRPr="007322EA">
        <w:rPr>
          <w:b/>
          <w:bCs/>
        </w:rPr>
        <w:t>À propos de la CBG</w:t>
      </w:r>
      <w:r w:rsidRPr="007322EA">
        <w:t> </w:t>
      </w:r>
    </w:p>
    <w:p w14:paraId="40B666A3" w14:textId="77777777" w:rsidR="00D03035" w:rsidRPr="007322EA" w:rsidRDefault="00D03035" w:rsidP="00D03035">
      <w:r w:rsidRPr="007322EA">
        <w:t>La Compagnie des Bauxites de Guinée (CBG) est l’un des principaux producteurs de bauxite de qualité au monde. Fondée en 1963, la CBG est une coentreprise détenue à 49 % par l’État guinéen et à 51 % par le consortium Halco Mining, composé des groupes internationaux Alcoa, Rio Tinto et Dadco Investments. </w:t>
      </w:r>
    </w:p>
    <w:p w14:paraId="308C4CF6" w14:textId="77777777" w:rsidR="00D03035" w:rsidRPr="007322EA" w:rsidRDefault="00D03035" w:rsidP="00D03035">
      <w:r w:rsidRPr="007322EA">
        <w:t>Acteur majeur de l’économie nationale, la CBG inscrit ses activités dans une logique de performance responsable, intégrant la sécurité, le développement durable et l’engagement communautaire. Présente depuis plus de cinq décennies, elle œuvre chaque jour à faire bien plus que de la bauxite. </w:t>
      </w:r>
    </w:p>
    <w:p w14:paraId="117159BA" w14:textId="77777777" w:rsidR="00D03035" w:rsidRPr="002D4E74" w:rsidRDefault="00D03035" w:rsidP="00D03035"/>
    <w:p w14:paraId="10E5342D" w14:textId="77777777" w:rsidR="00B1330D" w:rsidRPr="002D4E74" w:rsidRDefault="00B1330D" w:rsidP="002D4E74"/>
    <w:sectPr w:rsidR="00B1330D" w:rsidRPr="002D4E74" w:rsidSect="002D4E74">
      <w:headerReference w:type="default" r:id="rId7"/>
      <w:footerReference w:type="default" r:id="rId8"/>
      <w:pgSz w:w="11906" w:h="16838"/>
      <w:pgMar w:top="2268" w:right="1440" w:bottom="1440" w:left="1440" w:header="39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37000" w14:textId="77777777" w:rsidR="003B6BE2" w:rsidRDefault="003B6BE2">
      <w:r>
        <w:separator/>
      </w:r>
    </w:p>
  </w:endnote>
  <w:endnote w:type="continuationSeparator" w:id="0">
    <w:p w14:paraId="10E698ED" w14:textId="77777777" w:rsidR="003B6BE2" w:rsidRDefault="003B6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sby CF">
    <w:charset w:val="00"/>
    <w:family w:val="modern"/>
    <w:notTrueType/>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isbyCF-Medium">
    <w:altName w:val="Calibri"/>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BA656" w14:textId="77777777" w:rsidR="002D4E74" w:rsidRDefault="002D4E74" w:rsidP="003F214C">
    <w:pPr>
      <w:jc w:val="center"/>
      <w:rPr>
        <w:rFonts w:asciiTheme="minorHAnsi" w:eastAsia="Arial Unicode MS" w:hAnsiTheme="minorHAnsi" w:cstheme="minorHAnsi"/>
        <w:sz w:val="14"/>
        <w:szCs w:val="14"/>
      </w:rPr>
    </w:pPr>
  </w:p>
  <w:p w14:paraId="0229107B" w14:textId="77777777" w:rsidR="002D4E74" w:rsidRDefault="002D4E74" w:rsidP="002D4E74">
    <w:pPr>
      <w:jc w:val="center"/>
      <w:rPr>
        <w:rFonts w:asciiTheme="minorHAnsi" w:eastAsia="Arial Unicode MS" w:hAnsiTheme="minorHAnsi" w:cstheme="minorHAnsi"/>
        <w:sz w:val="14"/>
        <w:szCs w:val="14"/>
      </w:rPr>
    </w:pPr>
  </w:p>
  <w:p w14:paraId="7C69ECFC" w14:textId="77777777" w:rsidR="003F214C" w:rsidRPr="002D4E74" w:rsidRDefault="003F214C" w:rsidP="002D4E74">
    <w:pPr>
      <w:jc w:val="center"/>
      <w:rPr>
        <w:rFonts w:asciiTheme="minorHAnsi" w:eastAsia="Arial Unicode MS" w:hAnsiTheme="minorHAnsi" w:cstheme="minorHAnsi"/>
        <w:sz w:val="14"/>
        <w:szCs w:val="14"/>
      </w:rPr>
    </w:pPr>
    <w:r w:rsidRPr="002D4E74">
      <w:rPr>
        <w:rFonts w:asciiTheme="minorHAnsi" w:eastAsia="Calibri" w:hAnsiTheme="minorHAnsi" w:cstheme="minorHAnsi"/>
        <w:noProof/>
        <w:sz w:val="14"/>
        <w:szCs w:val="14"/>
      </w:rPr>
      <w:drawing>
        <wp:anchor distT="0" distB="0" distL="114300" distR="114300" simplePos="0" relativeHeight="251660288" behindDoc="0" locked="0" layoutInCell="1" allowOverlap="1" wp14:anchorId="48AF9449" wp14:editId="12D883A6">
          <wp:simplePos x="0" y="0"/>
          <wp:positionH relativeFrom="page">
            <wp:posOffset>6496050</wp:posOffset>
          </wp:positionH>
          <wp:positionV relativeFrom="paragraph">
            <wp:posOffset>-92710</wp:posOffset>
          </wp:positionV>
          <wp:extent cx="767417" cy="684530"/>
          <wp:effectExtent l="0" t="0" r="0" b="1270"/>
          <wp:wrapNone/>
          <wp:docPr id="1387549857" name="Image 1387549857" descr="Plan de travai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lan de travail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417" cy="684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4E74">
      <w:rPr>
        <w:rFonts w:asciiTheme="minorHAnsi" w:eastAsia="Arial Unicode MS" w:hAnsiTheme="minorHAnsi" w:cstheme="minorHAnsi"/>
        <w:sz w:val="14"/>
        <w:szCs w:val="14"/>
      </w:rPr>
      <w:t>COMPAGNIE DES BAUXITES DE GUINEE</w:t>
    </w:r>
  </w:p>
  <w:p w14:paraId="06B5897F" w14:textId="77777777" w:rsidR="003F214C" w:rsidRPr="002D4E74" w:rsidRDefault="003F214C" w:rsidP="002D4E74">
    <w:pPr>
      <w:jc w:val="center"/>
      <w:rPr>
        <w:rFonts w:asciiTheme="minorHAnsi" w:eastAsia="Arial Unicode MS" w:hAnsiTheme="minorHAnsi" w:cstheme="minorHAnsi"/>
        <w:sz w:val="14"/>
        <w:szCs w:val="14"/>
      </w:rPr>
    </w:pPr>
    <w:r w:rsidRPr="002D4E74">
      <w:rPr>
        <w:rFonts w:asciiTheme="minorHAnsi" w:eastAsia="Arial Unicode MS" w:hAnsiTheme="minorHAnsi" w:cstheme="minorHAnsi"/>
        <w:sz w:val="14"/>
        <w:szCs w:val="14"/>
      </w:rPr>
      <w:t>Direction Générale Sise à Kamsar – B.P : 100 |</w:t>
    </w:r>
  </w:p>
  <w:p w14:paraId="7D68809C" w14:textId="77777777" w:rsidR="003F214C" w:rsidRPr="002D4E74" w:rsidRDefault="003F214C" w:rsidP="002D4E74">
    <w:pPr>
      <w:jc w:val="center"/>
      <w:rPr>
        <w:rFonts w:asciiTheme="minorHAnsi" w:eastAsia="Arial Unicode MS" w:hAnsiTheme="minorHAnsi" w:cstheme="minorHAnsi"/>
        <w:sz w:val="14"/>
        <w:szCs w:val="14"/>
      </w:rPr>
    </w:pPr>
    <w:r w:rsidRPr="002D4E74">
      <w:rPr>
        <w:rFonts w:asciiTheme="minorHAnsi" w:eastAsia="Arial Unicode MS" w:hAnsiTheme="minorHAnsi" w:cstheme="minorHAnsi"/>
        <w:sz w:val="14"/>
        <w:szCs w:val="14"/>
      </w:rPr>
      <w:t>Sis au Quartier Minière, Commune de Dixinn, Immeuble SG9, 2eme Etage – B.P : 523</w:t>
    </w:r>
  </w:p>
  <w:p w14:paraId="2D1AD8B5" w14:textId="77777777" w:rsidR="003F214C" w:rsidRPr="002D4E74" w:rsidRDefault="003F214C" w:rsidP="002D4E74">
    <w:pPr>
      <w:jc w:val="center"/>
      <w:rPr>
        <w:rFonts w:asciiTheme="minorHAnsi" w:eastAsia="Arial Unicode MS" w:hAnsiTheme="minorHAnsi" w:cstheme="minorHAnsi"/>
        <w:sz w:val="14"/>
        <w:szCs w:val="14"/>
      </w:rPr>
    </w:pPr>
    <w:r w:rsidRPr="002D4E74">
      <w:rPr>
        <w:rFonts w:asciiTheme="minorHAnsi" w:eastAsia="Arial Unicode MS" w:hAnsiTheme="minorHAnsi" w:cstheme="minorHAnsi"/>
        <w:sz w:val="14"/>
        <w:szCs w:val="14"/>
      </w:rPr>
      <w:t xml:space="preserve">Contacts : </w:t>
    </w:r>
    <w:hyperlink r:id="rId2" w:history="1">
      <w:r w:rsidRPr="002D4E74">
        <w:rPr>
          <w:rFonts w:asciiTheme="minorHAnsi" w:eastAsia="Arial Unicode MS" w:hAnsiTheme="minorHAnsi" w:cstheme="minorHAnsi"/>
          <w:color w:val="0563C1"/>
          <w:sz w:val="14"/>
          <w:szCs w:val="14"/>
          <w:u w:val="single"/>
        </w:rPr>
        <w:t>info@cbg-guinee.com</w:t>
      </w:r>
    </w:hyperlink>
    <w:r w:rsidRPr="002D4E74">
      <w:rPr>
        <w:rFonts w:asciiTheme="minorHAnsi" w:eastAsia="Arial Unicode MS" w:hAnsiTheme="minorHAnsi" w:cstheme="minorHAnsi"/>
        <w:sz w:val="14"/>
        <w:szCs w:val="14"/>
      </w:rPr>
      <w:t xml:space="preserve"> | Tel: (+ 224) 624 253 219 / 629 006 098</w:t>
    </w:r>
  </w:p>
  <w:p w14:paraId="79F8714A" w14:textId="77777777" w:rsidR="003F214C" w:rsidRPr="002D4E74" w:rsidRDefault="003F214C" w:rsidP="002D4E74">
    <w:pPr>
      <w:jc w:val="center"/>
      <w:rPr>
        <w:rFonts w:asciiTheme="minorHAnsi" w:eastAsia="Arial Unicode MS" w:hAnsiTheme="minorHAnsi" w:cstheme="minorHAnsi"/>
        <w:sz w:val="14"/>
        <w:szCs w:val="14"/>
      </w:rPr>
    </w:pPr>
    <w:r w:rsidRPr="002D4E74">
      <w:rPr>
        <w:rFonts w:asciiTheme="minorHAnsi" w:eastAsia="Arial Unicode MS" w:hAnsiTheme="minorHAnsi" w:cstheme="minorHAnsi"/>
        <w:sz w:val="14"/>
        <w:szCs w:val="14"/>
      </w:rPr>
      <w:t>Certifiée ISO 9001 : 2015 - ISO 14001 : 2015 - ISO 45001 :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F16F0" w14:textId="77777777" w:rsidR="003B6BE2" w:rsidRDefault="003B6BE2">
      <w:r>
        <w:separator/>
      </w:r>
    </w:p>
  </w:footnote>
  <w:footnote w:type="continuationSeparator" w:id="0">
    <w:p w14:paraId="4F59E3C4" w14:textId="77777777" w:rsidR="003B6BE2" w:rsidRDefault="003B6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2FA00" w14:textId="77777777" w:rsidR="00681FF7" w:rsidRDefault="00BE372A" w:rsidP="00681FF7">
    <w:pPr>
      <w:autoSpaceDE w:val="0"/>
      <w:autoSpaceDN w:val="0"/>
      <w:adjustRightInd w:val="0"/>
      <w:rPr>
        <w:rFonts w:ascii="VisbyCF-Medium" w:hAnsi="VisbyCF-Medium" w:cs="VisbyCF-Medium"/>
        <w:color w:val="072341"/>
      </w:rPr>
    </w:pPr>
    <w:r>
      <w:rPr>
        <w:noProof/>
      </w:rPr>
      <w:drawing>
        <wp:anchor distT="0" distB="0" distL="114300" distR="114300" simplePos="0" relativeHeight="251658240" behindDoc="0" locked="0" layoutInCell="1" allowOverlap="1" wp14:anchorId="58EB7A9E" wp14:editId="5CCBE2C0">
          <wp:simplePos x="0" y="0"/>
          <wp:positionH relativeFrom="column">
            <wp:posOffset>3848100</wp:posOffset>
          </wp:positionH>
          <wp:positionV relativeFrom="paragraph">
            <wp:posOffset>-31115</wp:posOffset>
          </wp:positionV>
          <wp:extent cx="2429510" cy="565150"/>
          <wp:effectExtent l="0" t="0" r="0" b="0"/>
          <wp:wrapNone/>
          <wp:docPr id="12" name="Image 12" descr="Plan de travai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lan de travail 1"/>
                  <pic:cNvPicPr>
                    <a:picLocks noChangeAspect="1" noChangeArrowheads="1"/>
                  </pic:cNvPicPr>
                </pic:nvPicPr>
                <pic:blipFill>
                  <a:blip r:embed="rId1">
                    <a:extLst>
                      <a:ext uri="{28A0092B-C50C-407E-A947-70E740481C1C}">
                        <a14:useLocalDpi xmlns:a14="http://schemas.microsoft.com/office/drawing/2010/main" val="0"/>
                      </a:ext>
                    </a:extLst>
                  </a:blip>
                  <a:srcRect t="26398" b="37286"/>
                  <a:stretch>
                    <a:fillRect/>
                  </a:stretch>
                </pic:blipFill>
                <pic:spPr bwMode="auto">
                  <a:xfrm>
                    <a:off x="0" y="0"/>
                    <a:ext cx="2429510" cy="565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14C6DA69" wp14:editId="2BB5AEE2">
          <wp:simplePos x="0" y="0"/>
          <wp:positionH relativeFrom="margin">
            <wp:posOffset>-252730</wp:posOffset>
          </wp:positionH>
          <wp:positionV relativeFrom="margin">
            <wp:posOffset>-1233170</wp:posOffset>
          </wp:positionV>
          <wp:extent cx="933450" cy="1075055"/>
          <wp:effectExtent l="0" t="0" r="0" b="0"/>
          <wp:wrapSquare wrapText="bothSides"/>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0750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7402EB8A" wp14:editId="2F130C5D">
          <wp:simplePos x="0" y="0"/>
          <wp:positionH relativeFrom="margin">
            <wp:posOffset>2446020</wp:posOffset>
          </wp:positionH>
          <wp:positionV relativeFrom="margin">
            <wp:posOffset>-1894840</wp:posOffset>
          </wp:positionV>
          <wp:extent cx="3505200" cy="88900"/>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05200" cy="88900"/>
                  </a:xfrm>
                  <a:prstGeom prst="rect">
                    <a:avLst/>
                  </a:prstGeom>
                  <a:noFill/>
                  <a:ln>
                    <a:noFill/>
                  </a:ln>
                </pic:spPr>
              </pic:pic>
            </a:graphicData>
          </a:graphic>
          <wp14:sizeRelH relativeFrom="page">
            <wp14:pctWidth>0</wp14:pctWidth>
          </wp14:sizeRelH>
          <wp14:sizeRelV relativeFrom="page">
            <wp14:pctHeight>0</wp14:pctHeight>
          </wp14:sizeRelV>
        </wp:anchor>
      </w:drawing>
    </w:r>
    <w:r w:rsidR="00CD0311">
      <w:t xml:space="preserve">                                                                                          </w:t>
    </w:r>
  </w:p>
  <w:p w14:paraId="5EAD8373" w14:textId="77777777" w:rsidR="00681FF7" w:rsidRDefault="00CD0311" w:rsidP="00681FF7">
    <w:pPr>
      <w:pStyle w:val="En-tte"/>
    </w:pPr>
    <w:r>
      <w:rPr>
        <w:b/>
        <w:bCs/>
        <w:color w:val="201F1E"/>
        <w:szCs w:val="22"/>
        <w:u w:val="single"/>
        <w:bdr w:val="none" w:sz="0" w:space="0" w:color="auto" w:frame="1"/>
        <w:shd w:val="clear" w:color="auto" w:fill="FFFFFF"/>
      </w:rPr>
      <w:t xml:space="preserve">                    </w:t>
    </w:r>
  </w:p>
  <w:p w14:paraId="4198CE7C" w14:textId="77777777" w:rsidR="00681FF7" w:rsidRDefault="00681FF7" w:rsidP="00681FF7">
    <w:pPr>
      <w:pStyle w:val="En-tte"/>
    </w:pPr>
  </w:p>
  <w:p w14:paraId="1E36409E" w14:textId="77777777" w:rsidR="00681FF7" w:rsidRPr="005D52B3" w:rsidRDefault="00681FF7" w:rsidP="00681FF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30FCE"/>
    <w:multiLevelType w:val="multilevel"/>
    <w:tmpl w:val="2AD45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5286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035"/>
    <w:rsid w:val="000152E1"/>
    <w:rsid w:val="00055F83"/>
    <w:rsid w:val="000821DA"/>
    <w:rsid w:val="000873A3"/>
    <w:rsid w:val="000D12A8"/>
    <w:rsid w:val="000D4E05"/>
    <w:rsid w:val="000E3C22"/>
    <w:rsid w:val="000E5C53"/>
    <w:rsid w:val="000E72D5"/>
    <w:rsid w:val="00102F91"/>
    <w:rsid w:val="001241E5"/>
    <w:rsid w:val="0013510E"/>
    <w:rsid w:val="0014253C"/>
    <w:rsid w:val="00196992"/>
    <w:rsid w:val="001C3F82"/>
    <w:rsid w:val="001C630A"/>
    <w:rsid w:val="001D18A8"/>
    <w:rsid w:val="00205F3D"/>
    <w:rsid w:val="00217AA5"/>
    <w:rsid w:val="00223684"/>
    <w:rsid w:val="00235FE4"/>
    <w:rsid w:val="0023763E"/>
    <w:rsid w:val="00251928"/>
    <w:rsid w:val="0026253F"/>
    <w:rsid w:val="002672C4"/>
    <w:rsid w:val="002A2019"/>
    <w:rsid w:val="002B10E8"/>
    <w:rsid w:val="002B5285"/>
    <w:rsid w:val="002C0D12"/>
    <w:rsid w:val="002D0CA6"/>
    <w:rsid w:val="002D4E74"/>
    <w:rsid w:val="002F507B"/>
    <w:rsid w:val="002F6991"/>
    <w:rsid w:val="00300D61"/>
    <w:rsid w:val="0031162A"/>
    <w:rsid w:val="00315FF7"/>
    <w:rsid w:val="0033202E"/>
    <w:rsid w:val="00334242"/>
    <w:rsid w:val="003B6BE2"/>
    <w:rsid w:val="003B7F43"/>
    <w:rsid w:val="003C7CDD"/>
    <w:rsid w:val="003E1755"/>
    <w:rsid w:val="003E53CC"/>
    <w:rsid w:val="003F214C"/>
    <w:rsid w:val="003F45FA"/>
    <w:rsid w:val="00410761"/>
    <w:rsid w:val="0041665D"/>
    <w:rsid w:val="00430878"/>
    <w:rsid w:val="0043428F"/>
    <w:rsid w:val="004468F0"/>
    <w:rsid w:val="00453B5E"/>
    <w:rsid w:val="00454026"/>
    <w:rsid w:val="004601AB"/>
    <w:rsid w:val="00464BB0"/>
    <w:rsid w:val="00471266"/>
    <w:rsid w:val="00480105"/>
    <w:rsid w:val="004A048A"/>
    <w:rsid w:val="004A702E"/>
    <w:rsid w:val="004B1859"/>
    <w:rsid w:val="004B6E32"/>
    <w:rsid w:val="004C6C4F"/>
    <w:rsid w:val="004D7DD9"/>
    <w:rsid w:val="004E60A7"/>
    <w:rsid w:val="00525BD3"/>
    <w:rsid w:val="00560B36"/>
    <w:rsid w:val="00570544"/>
    <w:rsid w:val="00584BD6"/>
    <w:rsid w:val="0059395A"/>
    <w:rsid w:val="005B0DB5"/>
    <w:rsid w:val="005C43F9"/>
    <w:rsid w:val="005C6E94"/>
    <w:rsid w:val="005E3885"/>
    <w:rsid w:val="005F150D"/>
    <w:rsid w:val="005F2759"/>
    <w:rsid w:val="005F7EA8"/>
    <w:rsid w:val="00616377"/>
    <w:rsid w:val="00627495"/>
    <w:rsid w:val="0063273E"/>
    <w:rsid w:val="00640722"/>
    <w:rsid w:val="006467C4"/>
    <w:rsid w:val="006514DA"/>
    <w:rsid w:val="00654BAD"/>
    <w:rsid w:val="006571E7"/>
    <w:rsid w:val="00681FF7"/>
    <w:rsid w:val="00683950"/>
    <w:rsid w:val="00687F41"/>
    <w:rsid w:val="006A1858"/>
    <w:rsid w:val="006A4379"/>
    <w:rsid w:val="006B3AC4"/>
    <w:rsid w:val="006B4790"/>
    <w:rsid w:val="006F31C5"/>
    <w:rsid w:val="00706DCD"/>
    <w:rsid w:val="007127A6"/>
    <w:rsid w:val="00716EF5"/>
    <w:rsid w:val="00723083"/>
    <w:rsid w:val="00725FB7"/>
    <w:rsid w:val="00736760"/>
    <w:rsid w:val="00737F0E"/>
    <w:rsid w:val="0074280C"/>
    <w:rsid w:val="007609E2"/>
    <w:rsid w:val="00762946"/>
    <w:rsid w:val="007666CC"/>
    <w:rsid w:val="00782D44"/>
    <w:rsid w:val="007B189E"/>
    <w:rsid w:val="007B323D"/>
    <w:rsid w:val="007D1F98"/>
    <w:rsid w:val="007E31CB"/>
    <w:rsid w:val="007F4F92"/>
    <w:rsid w:val="007F6044"/>
    <w:rsid w:val="00807A7A"/>
    <w:rsid w:val="00816CF2"/>
    <w:rsid w:val="0082188D"/>
    <w:rsid w:val="0084253F"/>
    <w:rsid w:val="00851130"/>
    <w:rsid w:val="00861DF6"/>
    <w:rsid w:val="00875355"/>
    <w:rsid w:val="00885BFB"/>
    <w:rsid w:val="008D0CB3"/>
    <w:rsid w:val="008D65B4"/>
    <w:rsid w:val="008E13BE"/>
    <w:rsid w:val="008E42FD"/>
    <w:rsid w:val="008E6D5D"/>
    <w:rsid w:val="008F1E02"/>
    <w:rsid w:val="0091118B"/>
    <w:rsid w:val="00920677"/>
    <w:rsid w:val="00922C51"/>
    <w:rsid w:val="009372FF"/>
    <w:rsid w:val="009679DE"/>
    <w:rsid w:val="0097222F"/>
    <w:rsid w:val="00982008"/>
    <w:rsid w:val="00983086"/>
    <w:rsid w:val="009A16EF"/>
    <w:rsid w:val="009A3625"/>
    <w:rsid w:val="009A46F9"/>
    <w:rsid w:val="009B455A"/>
    <w:rsid w:val="009D2574"/>
    <w:rsid w:val="009D2883"/>
    <w:rsid w:val="009D434C"/>
    <w:rsid w:val="009D47DF"/>
    <w:rsid w:val="009E15E4"/>
    <w:rsid w:val="009F5D2D"/>
    <w:rsid w:val="009F7078"/>
    <w:rsid w:val="009F7EE5"/>
    <w:rsid w:val="00A1171E"/>
    <w:rsid w:val="00A1193F"/>
    <w:rsid w:val="00A130A7"/>
    <w:rsid w:val="00A218B7"/>
    <w:rsid w:val="00A43265"/>
    <w:rsid w:val="00A54F23"/>
    <w:rsid w:val="00A57F4A"/>
    <w:rsid w:val="00A67A9E"/>
    <w:rsid w:val="00A7400B"/>
    <w:rsid w:val="00A770D0"/>
    <w:rsid w:val="00A932B0"/>
    <w:rsid w:val="00A93E2D"/>
    <w:rsid w:val="00AA2D30"/>
    <w:rsid w:val="00AA5735"/>
    <w:rsid w:val="00AC0E9F"/>
    <w:rsid w:val="00AC10E9"/>
    <w:rsid w:val="00AC11A5"/>
    <w:rsid w:val="00AD295B"/>
    <w:rsid w:val="00AF5E70"/>
    <w:rsid w:val="00B04574"/>
    <w:rsid w:val="00B1330D"/>
    <w:rsid w:val="00B15AEB"/>
    <w:rsid w:val="00B22B3C"/>
    <w:rsid w:val="00B34134"/>
    <w:rsid w:val="00B517E8"/>
    <w:rsid w:val="00B658B2"/>
    <w:rsid w:val="00B81F90"/>
    <w:rsid w:val="00B853C9"/>
    <w:rsid w:val="00BA7C9F"/>
    <w:rsid w:val="00BE372A"/>
    <w:rsid w:val="00C103E3"/>
    <w:rsid w:val="00C148B3"/>
    <w:rsid w:val="00C21181"/>
    <w:rsid w:val="00C252BB"/>
    <w:rsid w:val="00C412C8"/>
    <w:rsid w:val="00C53FF8"/>
    <w:rsid w:val="00C558EB"/>
    <w:rsid w:val="00C75833"/>
    <w:rsid w:val="00C77E8F"/>
    <w:rsid w:val="00C8049C"/>
    <w:rsid w:val="00C8557D"/>
    <w:rsid w:val="00C86763"/>
    <w:rsid w:val="00C87751"/>
    <w:rsid w:val="00C93AF9"/>
    <w:rsid w:val="00CA487D"/>
    <w:rsid w:val="00CA52AA"/>
    <w:rsid w:val="00CB5091"/>
    <w:rsid w:val="00CD0311"/>
    <w:rsid w:val="00CE62F3"/>
    <w:rsid w:val="00CF55B2"/>
    <w:rsid w:val="00D03035"/>
    <w:rsid w:val="00D135AA"/>
    <w:rsid w:val="00D1784C"/>
    <w:rsid w:val="00D4631A"/>
    <w:rsid w:val="00D77317"/>
    <w:rsid w:val="00D953FC"/>
    <w:rsid w:val="00DC6C5C"/>
    <w:rsid w:val="00DC7A5B"/>
    <w:rsid w:val="00DE68D7"/>
    <w:rsid w:val="00E06E91"/>
    <w:rsid w:val="00E16930"/>
    <w:rsid w:val="00E17494"/>
    <w:rsid w:val="00E221E1"/>
    <w:rsid w:val="00E22AE5"/>
    <w:rsid w:val="00E376C8"/>
    <w:rsid w:val="00E57133"/>
    <w:rsid w:val="00E57DAC"/>
    <w:rsid w:val="00E81E8E"/>
    <w:rsid w:val="00E86012"/>
    <w:rsid w:val="00E87F36"/>
    <w:rsid w:val="00E90A6C"/>
    <w:rsid w:val="00E913B3"/>
    <w:rsid w:val="00EA2723"/>
    <w:rsid w:val="00EB2E22"/>
    <w:rsid w:val="00EC501F"/>
    <w:rsid w:val="00ED4427"/>
    <w:rsid w:val="00EE232C"/>
    <w:rsid w:val="00EE3699"/>
    <w:rsid w:val="00EE7F1B"/>
    <w:rsid w:val="00F0075C"/>
    <w:rsid w:val="00F023A1"/>
    <w:rsid w:val="00F0591F"/>
    <w:rsid w:val="00F132E1"/>
    <w:rsid w:val="00F20782"/>
    <w:rsid w:val="00F24627"/>
    <w:rsid w:val="00F61E94"/>
    <w:rsid w:val="00F731E1"/>
    <w:rsid w:val="00FA041B"/>
    <w:rsid w:val="00FB07F1"/>
    <w:rsid w:val="00FC2105"/>
    <w:rsid w:val="00FD2F47"/>
    <w:rsid w:val="00FE4FF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4E36"/>
  <w15:chartTrackingRefBased/>
  <w15:docId w15:val="{86049022-195F-4805-B1E6-75E633EBE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isby CF" w:eastAsia="Times New Roman" w:hAnsi="Visby CF" w:cs="Times New Roman"/>
        <w:sz w:val="22"/>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035"/>
    <w:rPr>
      <w:rFonts w:ascii="Arial" w:hAnsi="Arial" w:cs="Arial"/>
      <w:sz w:val="24"/>
    </w:rPr>
  </w:style>
  <w:style w:type="paragraph" w:styleId="Titre1">
    <w:name w:val="heading 1"/>
    <w:basedOn w:val="Normal"/>
    <w:next w:val="Normal"/>
    <w:link w:val="Titre1Car"/>
    <w:qFormat/>
    <w:rsid w:val="006467C4"/>
    <w:pPr>
      <w:keepNext/>
      <w:jc w:val="center"/>
      <w:outlineLvl w:val="0"/>
    </w:pPr>
    <w:rPr>
      <w:sz w:val="20"/>
      <w:szCs w:val="20"/>
      <w:u w:val="single"/>
      <w:lang w:val="en-GB"/>
    </w:rPr>
  </w:style>
  <w:style w:type="paragraph" w:styleId="Titre2">
    <w:name w:val="heading 2"/>
    <w:basedOn w:val="Normal"/>
    <w:next w:val="Normal"/>
    <w:link w:val="Titre2Car"/>
    <w:uiPriority w:val="9"/>
    <w:semiHidden/>
    <w:unhideWhenUsed/>
    <w:qFormat/>
    <w:rsid w:val="00D0303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D03035"/>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D03035"/>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Titre5">
    <w:name w:val="heading 5"/>
    <w:basedOn w:val="Normal"/>
    <w:next w:val="Normal"/>
    <w:link w:val="Titre5Car"/>
    <w:uiPriority w:val="9"/>
    <w:semiHidden/>
    <w:unhideWhenUsed/>
    <w:qFormat/>
    <w:rsid w:val="00D03035"/>
    <w:pPr>
      <w:keepNext/>
      <w:keepLines/>
      <w:spacing w:before="80" w:after="40"/>
      <w:outlineLvl w:val="4"/>
    </w:pPr>
    <w:rPr>
      <w:rFonts w:asciiTheme="minorHAnsi" w:eastAsiaTheme="majorEastAsia" w:hAnsiTheme="minorHAnsi" w:cstheme="majorBidi"/>
      <w:color w:val="2E74B5" w:themeColor="accent1" w:themeShade="BF"/>
    </w:rPr>
  </w:style>
  <w:style w:type="paragraph" w:styleId="Titre6">
    <w:name w:val="heading 6"/>
    <w:basedOn w:val="Normal"/>
    <w:next w:val="Normal"/>
    <w:link w:val="Titre6Car"/>
    <w:uiPriority w:val="9"/>
    <w:semiHidden/>
    <w:unhideWhenUsed/>
    <w:qFormat/>
    <w:rsid w:val="00D03035"/>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D03035"/>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D03035"/>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D03035"/>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0311"/>
    <w:pPr>
      <w:tabs>
        <w:tab w:val="center" w:pos="4513"/>
        <w:tab w:val="right" w:pos="9026"/>
      </w:tabs>
    </w:pPr>
    <w:rPr>
      <w:rFonts w:ascii="Visby CF" w:eastAsia="Calibri" w:hAnsi="Visby CF" w:cs="Times New Roman"/>
      <w:sz w:val="22"/>
    </w:rPr>
  </w:style>
  <w:style w:type="character" w:customStyle="1" w:styleId="En-tteCar">
    <w:name w:val="En-tête Car"/>
    <w:link w:val="En-tte"/>
    <w:uiPriority w:val="99"/>
    <w:rsid w:val="00CD0311"/>
    <w:rPr>
      <w:rFonts w:ascii="Calibri" w:eastAsia="Calibri" w:hAnsi="Calibri" w:cs="Times New Roman"/>
    </w:rPr>
  </w:style>
  <w:style w:type="paragraph" w:styleId="NormalWeb">
    <w:name w:val="Normal (Web)"/>
    <w:basedOn w:val="Normal"/>
    <w:uiPriority w:val="99"/>
    <w:semiHidden/>
    <w:unhideWhenUsed/>
    <w:rsid w:val="00CD0311"/>
    <w:pPr>
      <w:spacing w:before="100" w:beforeAutospacing="1" w:after="100" w:afterAutospacing="1"/>
    </w:pPr>
    <w:rPr>
      <w:rFonts w:ascii="Times New Roman" w:hAnsi="Times New Roman" w:cs="Times New Roman"/>
      <w:sz w:val="22"/>
    </w:rPr>
  </w:style>
  <w:style w:type="paragraph" w:styleId="Pieddepage">
    <w:name w:val="footer"/>
    <w:basedOn w:val="Normal"/>
    <w:link w:val="PieddepageCar"/>
    <w:uiPriority w:val="99"/>
    <w:unhideWhenUsed/>
    <w:rsid w:val="00CD0311"/>
    <w:pPr>
      <w:tabs>
        <w:tab w:val="center" w:pos="4536"/>
        <w:tab w:val="right" w:pos="9072"/>
      </w:tabs>
    </w:pPr>
    <w:rPr>
      <w:rFonts w:ascii="Visby CF" w:eastAsia="Calibri" w:hAnsi="Visby CF" w:cs="Times New Roman"/>
      <w:sz w:val="22"/>
    </w:rPr>
  </w:style>
  <w:style w:type="character" w:customStyle="1" w:styleId="PieddepageCar">
    <w:name w:val="Pied de page Car"/>
    <w:link w:val="Pieddepage"/>
    <w:uiPriority w:val="99"/>
    <w:rsid w:val="00CD0311"/>
    <w:rPr>
      <w:rFonts w:ascii="Calibri" w:eastAsia="Calibri" w:hAnsi="Calibri" w:cs="Times New Roman"/>
    </w:rPr>
  </w:style>
  <w:style w:type="paragraph" w:styleId="Textedebulles">
    <w:name w:val="Balloon Text"/>
    <w:basedOn w:val="Normal"/>
    <w:link w:val="TextedebullesCar"/>
    <w:uiPriority w:val="99"/>
    <w:semiHidden/>
    <w:unhideWhenUsed/>
    <w:rsid w:val="00EE232C"/>
    <w:rPr>
      <w:rFonts w:ascii="Segoe UI" w:hAnsi="Segoe UI" w:cs="Segoe UI"/>
      <w:sz w:val="18"/>
      <w:szCs w:val="18"/>
    </w:rPr>
  </w:style>
  <w:style w:type="character" w:customStyle="1" w:styleId="TextedebullesCar">
    <w:name w:val="Texte de bulles Car"/>
    <w:link w:val="Textedebulles"/>
    <w:uiPriority w:val="99"/>
    <w:semiHidden/>
    <w:rsid w:val="00EE232C"/>
    <w:rPr>
      <w:rFonts w:ascii="Segoe UI" w:hAnsi="Segoe UI" w:cs="Segoe UI"/>
      <w:sz w:val="18"/>
      <w:szCs w:val="18"/>
      <w:lang w:eastAsia="en-US"/>
    </w:rPr>
  </w:style>
  <w:style w:type="character" w:styleId="Lienhypertexte">
    <w:name w:val="Hyperlink"/>
    <w:uiPriority w:val="99"/>
    <w:unhideWhenUsed/>
    <w:rsid w:val="005E3885"/>
    <w:rPr>
      <w:color w:val="0563C1"/>
      <w:u w:val="single"/>
    </w:rPr>
  </w:style>
  <w:style w:type="character" w:customStyle="1" w:styleId="Titre1Car">
    <w:name w:val="Titre 1 Car"/>
    <w:basedOn w:val="Policepardfaut"/>
    <w:link w:val="Titre1"/>
    <w:rsid w:val="006467C4"/>
    <w:rPr>
      <w:rFonts w:ascii="Arial" w:eastAsia="Times New Roman" w:hAnsi="Arial" w:cs="Arial"/>
      <w:sz w:val="20"/>
      <w:szCs w:val="20"/>
      <w:u w:val="single"/>
      <w:lang w:val="en-GB"/>
    </w:rPr>
  </w:style>
  <w:style w:type="paragraph" w:styleId="Corpsdetexte">
    <w:name w:val="Body Text"/>
    <w:basedOn w:val="Normal"/>
    <w:link w:val="CorpsdetexteCar"/>
    <w:rsid w:val="006467C4"/>
    <w:pPr>
      <w:jc w:val="both"/>
    </w:pPr>
  </w:style>
  <w:style w:type="character" w:customStyle="1" w:styleId="CorpsdetexteCar">
    <w:name w:val="Corps de texte Car"/>
    <w:basedOn w:val="Policepardfaut"/>
    <w:link w:val="Corpsdetexte"/>
    <w:rsid w:val="006467C4"/>
    <w:rPr>
      <w:rFonts w:ascii="Arial" w:eastAsia="Times New Roman" w:hAnsi="Arial" w:cs="Arial"/>
      <w:sz w:val="24"/>
    </w:rPr>
  </w:style>
  <w:style w:type="character" w:customStyle="1" w:styleId="Titre2Car">
    <w:name w:val="Titre 2 Car"/>
    <w:basedOn w:val="Policepardfaut"/>
    <w:link w:val="Titre2"/>
    <w:uiPriority w:val="9"/>
    <w:semiHidden/>
    <w:rsid w:val="00D03035"/>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D03035"/>
    <w:rPr>
      <w:rFonts w:asciiTheme="minorHAnsi" w:eastAsiaTheme="majorEastAsia" w:hAnsiTheme="minorHAnsi" w:cstheme="majorBidi"/>
      <w:color w:val="2E74B5" w:themeColor="accent1" w:themeShade="BF"/>
      <w:sz w:val="28"/>
      <w:szCs w:val="28"/>
    </w:rPr>
  </w:style>
  <w:style w:type="character" w:customStyle="1" w:styleId="Titre4Car">
    <w:name w:val="Titre 4 Car"/>
    <w:basedOn w:val="Policepardfaut"/>
    <w:link w:val="Titre4"/>
    <w:uiPriority w:val="9"/>
    <w:semiHidden/>
    <w:rsid w:val="00D03035"/>
    <w:rPr>
      <w:rFonts w:asciiTheme="minorHAnsi" w:eastAsiaTheme="majorEastAsia" w:hAnsiTheme="minorHAnsi" w:cstheme="majorBidi"/>
      <w:i/>
      <w:iCs/>
      <w:color w:val="2E74B5" w:themeColor="accent1" w:themeShade="BF"/>
      <w:sz w:val="24"/>
    </w:rPr>
  </w:style>
  <w:style w:type="character" w:customStyle="1" w:styleId="Titre5Car">
    <w:name w:val="Titre 5 Car"/>
    <w:basedOn w:val="Policepardfaut"/>
    <w:link w:val="Titre5"/>
    <w:uiPriority w:val="9"/>
    <w:semiHidden/>
    <w:rsid w:val="00D03035"/>
    <w:rPr>
      <w:rFonts w:asciiTheme="minorHAnsi" w:eastAsiaTheme="majorEastAsia" w:hAnsiTheme="minorHAnsi" w:cstheme="majorBidi"/>
      <w:color w:val="2E74B5" w:themeColor="accent1" w:themeShade="BF"/>
      <w:sz w:val="24"/>
    </w:rPr>
  </w:style>
  <w:style w:type="character" w:customStyle="1" w:styleId="Titre6Car">
    <w:name w:val="Titre 6 Car"/>
    <w:basedOn w:val="Policepardfaut"/>
    <w:link w:val="Titre6"/>
    <w:uiPriority w:val="9"/>
    <w:semiHidden/>
    <w:rsid w:val="00D03035"/>
    <w:rPr>
      <w:rFonts w:asciiTheme="minorHAnsi" w:eastAsiaTheme="majorEastAsia" w:hAnsiTheme="minorHAnsi" w:cstheme="majorBidi"/>
      <w:i/>
      <w:iCs/>
      <w:color w:val="595959" w:themeColor="text1" w:themeTint="A6"/>
      <w:sz w:val="24"/>
    </w:rPr>
  </w:style>
  <w:style w:type="character" w:customStyle="1" w:styleId="Titre7Car">
    <w:name w:val="Titre 7 Car"/>
    <w:basedOn w:val="Policepardfaut"/>
    <w:link w:val="Titre7"/>
    <w:uiPriority w:val="9"/>
    <w:semiHidden/>
    <w:rsid w:val="00D03035"/>
    <w:rPr>
      <w:rFonts w:asciiTheme="minorHAnsi" w:eastAsiaTheme="majorEastAsia" w:hAnsiTheme="minorHAnsi" w:cstheme="majorBidi"/>
      <w:color w:val="595959" w:themeColor="text1" w:themeTint="A6"/>
      <w:sz w:val="24"/>
    </w:rPr>
  </w:style>
  <w:style w:type="character" w:customStyle="1" w:styleId="Titre8Car">
    <w:name w:val="Titre 8 Car"/>
    <w:basedOn w:val="Policepardfaut"/>
    <w:link w:val="Titre8"/>
    <w:uiPriority w:val="9"/>
    <w:semiHidden/>
    <w:rsid w:val="00D03035"/>
    <w:rPr>
      <w:rFonts w:asciiTheme="minorHAnsi" w:eastAsiaTheme="majorEastAsia" w:hAnsiTheme="minorHAnsi" w:cstheme="majorBidi"/>
      <w:i/>
      <w:iCs/>
      <w:color w:val="272727" w:themeColor="text1" w:themeTint="D8"/>
      <w:sz w:val="24"/>
    </w:rPr>
  </w:style>
  <w:style w:type="character" w:customStyle="1" w:styleId="Titre9Car">
    <w:name w:val="Titre 9 Car"/>
    <w:basedOn w:val="Policepardfaut"/>
    <w:link w:val="Titre9"/>
    <w:uiPriority w:val="9"/>
    <w:semiHidden/>
    <w:rsid w:val="00D03035"/>
    <w:rPr>
      <w:rFonts w:asciiTheme="minorHAnsi" w:eastAsiaTheme="majorEastAsia" w:hAnsiTheme="minorHAnsi" w:cstheme="majorBidi"/>
      <w:color w:val="272727" w:themeColor="text1" w:themeTint="D8"/>
      <w:sz w:val="24"/>
    </w:rPr>
  </w:style>
  <w:style w:type="paragraph" w:styleId="Titre">
    <w:name w:val="Title"/>
    <w:basedOn w:val="Normal"/>
    <w:next w:val="Normal"/>
    <w:link w:val="TitreCar"/>
    <w:uiPriority w:val="10"/>
    <w:qFormat/>
    <w:rsid w:val="00D0303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0303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0303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03035"/>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D03035"/>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D03035"/>
    <w:rPr>
      <w:rFonts w:ascii="Arial" w:hAnsi="Arial" w:cs="Arial"/>
      <w:i/>
      <w:iCs/>
      <w:color w:val="404040" w:themeColor="text1" w:themeTint="BF"/>
      <w:sz w:val="24"/>
    </w:rPr>
  </w:style>
  <w:style w:type="paragraph" w:styleId="Paragraphedeliste">
    <w:name w:val="List Paragraph"/>
    <w:basedOn w:val="Normal"/>
    <w:uiPriority w:val="34"/>
    <w:qFormat/>
    <w:rsid w:val="00D03035"/>
    <w:pPr>
      <w:ind w:left="720"/>
      <w:contextualSpacing/>
    </w:pPr>
  </w:style>
  <w:style w:type="character" w:styleId="Accentuationintense">
    <w:name w:val="Intense Emphasis"/>
    <w:basedOn w:val="Policepardfaut"/>
    <w:uiPriority w:val="21"/>
    <w:qFormat/>
    <w:rsid w:val="00D03035"/>
    <w:rPr>
      <w:i/>
      <w:iCs/>
      <w:color w:val="2E74B5" w:themeColor="accent1" w:themeShade="BF"/>
    </w:rPr>
  </w:style>
  <w:style w:type="paragraph" w:styleId="Citationintense">
    <w:name w:val="Intense Quote"/>
    <w:basedOn w:val="Normal"/>
    <w:next w:val="Normal"/>
    <w:link w:val="CitationintenseCar"/>
    <w:uiPriority w:val="30"/>
    <w:qFormat/>
    <w:rsid w:val="00D0303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D03035"/>
    <w:rPr>
      <w:rFonts w:ascii="Arial" w:hAnsi="Arial" w:cs="Arial"/>
      <w:i/>
      <w:iCs/>
      <w:color w:val="2E74B5" w:themeColor="accent1" w:themeShade="BF"/>
      <w:sz w:val="24"/>
    </w:rPr>
  </w:style>
  <w:style w:type="character" w:styleId="Rfrenceintense">
    <w:name w:val="Intense Reference"/>
    <w:basedOn w:val="Policepardfaut"/>
    <w:uiPriority w:val="32"/>
    <w:qFormat/>
    <w:rsid w:val="00D0303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footer1.xml.rels><?xml version="1.0" encoding="UTF-8" standalone="yes"?>
<Relationships xmlns="http://schemas.openxmlformats.org/package/2006/relationships"><Relationship Id="rId2" Type="http://schemas.openxmlformats.org/officeDocument/2006/relationships/hyperlink" Target="mailto:info@cbg-guinee.com" TargetMode="External" /><Relationship Id="rId1" Type="http://schemas.openxmlformats.org/officeDocument/2006/relationships/image" Target="media/image4.png" /></Relationships>
</file>

<file path=word/_rels/header1.xml.rels><?xml version="1.0" encoding="UTF-8" standalone="yes"?>
<Relationships xmlns="http://schemas.openxmlformats.org/package/2006/relationships"><Relationship Id="rId3" Type="http://schemas.openxmlformats.org/officeDocument/2006/relationships/image" Target="media/image3.jpeg" /><Relationship Id="rId2" Type="http://schemas.openxmlformats.org/officeDocument/2006/relationships/image" Target="media/image2.jpeg" /><Relationship Id="rId1" Type="http://schemas.openxmlformats.org/officeDocument/2006/relationships/image" Target="media/image1.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683</Words>
  <Characters>3760</Characters>
  <Application>Microsoft Office Word</Application>
  <DocSecurity>0</DocSecurity>
  <Lines>31</Lines>
  <Paragraphs>8</Paragraphs>
  <ScaleCrop>false</ScaleCrop>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Soumah, Alhassane</dc:creator>
  <cp:keywords/>
  <dc:description/>
  <cp:lastModifiedBy>IBRAHIMA NDIAYE</cp:lastModifiedBy>
  <cp:revision>2</cp:revision>
  <cp:lastPrinted>2025-01-31T13:38:00Z</cp:lastPrinted>
  <dcterms:created xsi:type="dcterms:W3CDTF">2026-09-23T23:08:00Z</dcterms:created>
  <dcterms:modified xsi:type="dcterms:W3CDTF">2026-09-23T23:08:00Z</dcterms:modified>
</cp:coreProperties>
</file>